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4C" w:rsidRDefault="008A6D4C" w:rsidP="008A6D4C">
      <w:pPr>
        <w:pStyle w:val="CABEZA"/>
        <w:rPr>
          <w:bCs/>
          <w:szCs w:val="18"/>
          <w:lang w:val="es-MX"/>
        </w:rPr>
      </w:pPr>
      <w:r w:rsidRPr="00F63670">
        <w:rPr>
          <w:rFonts w:cs="Times New Roman"/>
        </w:rPr>
        <w:t>SECRETARIA DE ECONOMIA</w:t>
      </w:r>
    </w:p>
    <w:p w:rsidR="008A6D4C" w:rsidRDefault="008A6D4C"/>
    <w:p w:rsidR="008A6D4C" w:rsidRPr="00F63670" w:rsidRDefault="008A6D4C" w:rsidP="008A6D4C">
      <w:pPr>
        <w:pStyle w:val="Titulo1"/>
        <w:rPr>
          <w:rFonts w:cs="Times New Roman"/>
        </w:rPr>
      </w:pPr>
      <w:bookmarkStart w:id="0" w:name="_GoBack"/>
      <w:r w:rsidRPr="00F63670">
        <w:rPr>
          <w:rFonts w:cs="Times New Roman"/>
        </w:rPr>
        <w:t>DECLARATORIA de vigencia de la Norma Mexicana NMX-J-737-1-ANCE-2018.</w:t>
      </w:r>
    </w:p>
    <w:bookmarkEnd w:id="0"/>
    <w:p w:rsidR="008A6D4C" w:rsidRPr="00F63670" w:rsidRDefault="008A6D4C" w:rsidP="008A6D4C">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8A6D4C" w:rsidRPr="0068548A" w:rsidRDefault="008A6D4C" w:rsidP="008A6D4C">
      <w:pPr>
        <w:pStyle w:val="Texto"/>
        <w:spacing w:after="80"/>
        <w:rPr>
          <w:bCs/>
          <w:sz w:val="16"/>
          <w:szCs w:val="18"/>
          <w:lang w:val="es-MX"/>
        </w:rPr>
      </w:pPr>
      <w:r w:rsidRPr="0068548A">
        <w:rPr>
          <w:bCs/>
          <w:sz w:val="16"/>
          <w:szCs w:val="18"/>
          <w:lang w:val="es-MX"/>
        </w:rPr>
        <w:t>DECLARATORIA DE VIGENCIA DE LA NORMA MEXICANA NMX-J-737-1-ANCE-2018, “SEGURIDAD EN MAQUINARIA</w:t>
      </w:r>
      <w:r>
        <w:rPr>
          <w:bCs/>
          <w:sz w:val="16"/>
          <w:szCs w:val="18"/>
          <w:lang w:val="es-MX"/>
        </w:rPr>
        <w:t>-</w:t>
      </w:r>
      <w:r w:rsidRPr="0068548A">
        <w:rPr>
          <w:bCs/>
          <w:sz w:val="16"/>
          <w:szCs w:val="18"/>
          <w:lang w:val="es-MX"/>
        </w:rPr>
        <w:t>PARTES RELACIONADAS CON LA SEGURIDAD EN SISTEMAS DE CONTROL</w:t>
      </w:r>
      <w:r>
        <w:rPr>
          <w:bCs/>
          <w:sz w:val="16"/>
          <w:szCs w:val="18"/>
          <w:lang w:val="es-MX"/>
        </w:rPr>
        <w:t>-</w:t>
      </w:r>
      <w:r w:rsidRPr="0068548A">
        <w:rPr>
          <w:bCs/>
          <w:sz w:val="16"/>
          <w:szCs w:val="18"/>
          <w:lang w:val="es-MX"/>
        </w:rPr>
        <w:t>PARTE 1: PRINCIPIOS GENERALES PARA EL DISEÑO”</w:t>
      </w:r>
      <w:r>
        <w:rPr>
          <w:bCs/>
          <w:sz w:val="16"/>
          <w:szCs w:val="18"/>
          <w:lang w:val="es-MX"/>
        </w:rPr>
        <w:t>.</w:t>
      </w:r>
    </w:p>
    <w:p w:rsidR="008A6D4C" w:rsidRPr="00187A8D" w:rsidRDefault="008A6D4C" w:rsidP="008A6D4C">
      <w:pPr>
        <w:pStyle w:val="Texto"/>
        <w:spacing w:after="80"/>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8A6D4C" w:rsidRPr="00187A8D" w:rsidRDefault="008A6D4C" w:rsidP="008A6D4C">
      <w:pPr>
        <w:pStyle w:val="Texto"/>
        <w:spacing w:after="80"/>
        <w:rPr>
          <w:szCs w:val="18"/>
        </w:rPr>
      </w:pPr>
      <w:r w:rsidRPr="00187A8D">
        <w:rPr>
          <w:bCs/>
          <w:szCs w:val="18"/>
          <w:lang w:val="es-MX"/>
        </w:rPr>
        <w:t xml:space="preserve">La presente Norma Mexicana </w:t>
      </w:r>
      <w:r w:rsidRPr="00187A8D">
        <w:rPr>
          <w:szCs w:val="18"/>
          <w:lang w:val="es-MX"/>
        </w:rPr>
        <w:t xml:space="preserve">NMX-J-737-1-ANCE-2018 </w:t>
      </w:r>
      <w:r w:rsidRPr="00187A8D">
        <w:rPr>
          <w:bCs/>
          <w:szCs w:val="18"/>
          <w:lang w:val="es-MX"/>
        </w:rPr>
        <w:t xml:space="preserve">entrará en vigor 60 días naturales contados a partir del día natural inmediato siguiente de la publicación de esta Declaratoria de Vigencia en el Diario Oficial de la Federación. </w:t>
      </w:r>
      <w:r w:rsidRPr="00187A8D">
        <w:rPr>
          <w:szCs w:val="18"/>
        </w:rPr>
        <w:t>SINEC-20180906121406971</w:t>
      </w:r>
      <w:r>
        <w:rPr>
          <w:szCs w:val="18"/>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5943"/>
      </w:tblGrid>
      <w:tr w:rsidR="008A6D4C" w:rsidRPr="007C5048" w:rsidTr="00C56A1A">
        <w:trPr>
          <w:trHeight w:val="20"/>
        </w:trPr>
        <w:tc>
          <w:tcPr>
            <w:tcW w:w="2769" w:type="dxa"/>
            <w:shd w:val="pct10" w:color="auto" w:fill="auto"/>
            <w:vAlign w:val="center"/>
          </w:tcPr>
          <w:p w:rsidR="008A6D4C" w:rsidRPr="007C5048" w:rsidRDefault="008A6D4C" w:rsidP="00C56A1A">
            <w:pPr>
              <w:pStyle w:val="Texto"/>
              <w:spacing w:after="80"/>
              <w:ind w:firstLine="0"/>
              <w:jc w:val="center"/>
              <w:rPr>
                <w:b/>
                <w:sz w:val="16"/>
                <w:szCs w:val="18"/>
                <w:lang w:val="es-MX"/>
              </w:rPr>
            </w:pPr>
            <w:r w:rsidRPr="007C5048">
              <w:rPr>
                <w:b/>
                <w:sz w:val="16"/>
                <w:szCs w:val="18"/>
                <w:lang w:val="es-MX"/>
              </w:rPr>
              <w:t>CLAVE O CÓDIGO</w:t>
            </w:r>
          </w:p>
        </w:tc>
        <w:tc>
          <w:tcPr>
            <w:tcW w:w="5943" w:type="dxa"/>
            <w:shd w:val="pct10" w:color="auto" w:fill="auto"/>
            <w:vAlign w:val="center"/>
          </w:tcPr>
          <w:p w:rsidR="008A6D4C" w:rsidRPr="007C5048" w:rsidRDefault="008A6D4C" w:rsidP="00C56A1A">
            <w:pPr>
              <w:pStyle w:val="Texto"/>
              <w:spacing w:after="80"/>
              <w:ind w:firstLine="0"/>
              <w:jc w:val="center"/>
              <w:rPr>
                <w:b/>
                <w:sz w:val="16"/>
                <w:szCs w:val="18"/>
                <w:lang w:val="es-MX"/>
              </w:rPr>
            </w:pPr>
            <w:r w:rsidRPr="007C5048">
              <w:rPr>
                <w:b/>
                <w:sz w:val="16"/>
                <w:szCs w:val="18"/>
                <w:lang w:val="es-MX"/>
              </w:rPr>
              <w:t>TÍTULO DE LA NORMA MEXICANA</w:t>
            </w:r>
          </w:p>
        </w:tc>
      </w:tr>
      <w:tr w:rsidR="008A6D4C" w:rsidRPr="00187A8D" w:rsidTr="00C56A1A">
        <w:trPr>
          <w:trHeight w:val="20"/>
        </w:trPr>
        <w:tc>
          <w:tcPr>
            <w:tcW w:w="2769" w:type="dxa"/>
            <w:vAlign w:val="center"/>
          </w:tcPr>
          <w:p w:rsidR="008A6D4C" w:rsidRPr="00187A8D" w:rsidRDefault="008A6D4C" w:rsidP="00C56A1A">
            <w:pPr>
              <w:pStyle w:val="Texto"/>
              <w:spacing w:after="80"/>
              <w:ind w:firstLine="0"/>
              <w:jc w:val="center"/>
              <w:rPr>
                <w:b/>
                <w:szCs w:val="18"/>
                <w:lang w:val="es-MX"/>
              </w:rPr>
            </w:pPr>
            <w:r w:rsidRPr="007C5048">
              <w:rPr>
                <w:b/>
                <w:sz w:val="16"/>
                <w:szCs w:val="18"/>
                <w:lang w:val="es-MX"/>
              </w:rPr>
              <w:t>NMX-J-737-1-ANCE-2018</w:t>
            </w:r>
          </w:p>
        </w:tc>
        <w:tc>
          <w:tcPr>
            <w:tcW w:w="5943" w:type="dxa"/>
          </w:tcPr>
          <w:p w:rsidR="008A6D4C" w:rsidRPr="00187A8D" w:rsidRDefault="008A6D4C" w:rsidP="00C56A1A">
            <w:pPr>
              <w:pStyle w:val="Texto"/>
              <w:spacing w:after="80"/>
              <w:ind w:firstLine="0"/>
              <w:rPr>
                <w:szCs w:val="18"/>
                <w:highlight w:val="yellow"/>
              </w:rPr>
            </w:pPr>
            <w:r w:rsidRPr="00187A8D">
              <w:rPr>
                <w:bCs/>
                <w:szCs w:val="18"/>
                <w:lang w:val="es-MX"/>
              </w:rPr>
              <w:t>Seguridad en maquinaria</w:t>
            </w:r>
            <w:r>
              <w:rPr>
                <w:bCs/>
                <w:szCs w:val="18"/>
                <w:lang w:val="es-MX"/>
              </w:rPr>
              <w:t>-</w:t>
            </w:r>
            <w:r w:rsidRPr="00187A8D">
              <w:rPr>
                <w:bCs/>
                <w:szCs w:val="18"/>
                <w:lang w:val="es-MX"/>
              </w:rPr>
              <w:t>Partes relacionadas con la seguridad en sistemas de control</w:t>
            </w:r>
            <w:r>
              <w:rPr>
                <w:bCs/>
                <w:szCs w:val="18"/>
                <w:lang w:val="es-MX"/>
              </w:rPr>
              <w:t>-</w:t>
            </w:r>
            <w:r w:rsidRPr="00187A8D">
              <w:rPr>
                <w:bCs/>
                <w:szCs w:val="18"/>
                <w:lang w:val="es-MX"/>
              </w:rPr>
              <w:t>Parte 1: Principios generales para el diseño</w:t>
            </w:r>
          </w:p>
        </w:tc>
      </w:tr>
      <w:tr w:rsidR="008A6D4C" w:rsidRPr="00187A8D" w:rsidTr="00C56A1A">
        <w:trPr>
          <w:trHeight w:val="20"/>
        </w:trPr>
        <w:tc>
          <w:tcPr>
            <w:tcW w:w="8712" w:type="dxa"/>
            <w:gridSpan w:val="2"/>
            <w:vAlign w:val="center"/>
          </w:tcPr>
          <w:p w:rsidR="008A6D4C" w:rsidRPr="00187A8D" w:rsidRDefault="008A6D4C" w:rsidP="00C56A1A">
            <w:pPr>
              <w:pStyle w:val="Texto"/>
              <w:spacing w:after="80"/>
              <w:ind w:firstLine="0"/>
              <w:jc w:val="center"/>
              <w:rPr>
                <w:b/>
                <w:szCs w:val="18"/>
              </w:rPr>
            </w:pPr>
            <w:r w:rsidRPr="00187A8D">
              <w:rPr>
                <w:b/>
                <w:szCs w:val="18"/>
              </w:rPr>
              <w:t>Objetivo y campo de aplicación</w:t>
            </w:r>
          </w:p>
          <w:p w:rsidR="008A6D4C" w:rsidRPr="00187A8D" w:rsidRDefault="008A6D4C" w:rsidP="00C56A1A">
            <w:pPr>
              <w:pStyle w:val="Texto"/>
              <w:spacing w:after="80"/>
              <w:ind w:firstLine="0"/>
              <w:rPr>
                <w:szCs w:val="18"/>
              </w:rPr>
            </w:pPr>
            <w:r w:rsidRPr="00187A8D">
              <w:rPr>
                <w:szCs w:val="18"/>
              </w:rPr>
              <w:t>Esta Norma Mexicana proporciona los requisitos de seguridad y orientación sobre los principios para el diseño e integración de las Partes Relacionadas con la Seguridad de Sistemas de Control (SRP/CS), incluyendo el diseño del software. Para las SRP/CS, se especifican las características que incluyen el nivel de desempeño requerido para llevar a cabo las funciones de seguridad. Esta Norma Mexicana aplica para las SRP/CS para alta demanda y de modo continuo, independientemente del tipo de tecnología y energía que se utiliza (eléctrica, hidráulica, neumática, mecánica, entre otros), y para todo tipo de maquinaria.</w:t>
            </w:r>
          </w:p>
        </w:tc>
      </w:tr>
      <w:tr w:rsidR="008A6D4C" w:rsidRPr="00187A8D" w:rsidTr="00C56A1A">
        <w:trPr>
          <w:trHeight w:val="20"/>
        </w:trPr>
        <w:tc>
          <w:tcPr>
            <w:tcW w:w="8712" w:type="dxa"/>
            <w:gridSpan w:val="2"/>
            <w:vAlign w:val="center"/>
          </w:tcPr>
          <w:p w:rsidR="008A6D4C" w:rsidRPr="00187A8D" w:rsidRDefault="008A6D4C" w:rsidP="00C56A1A">
            <w:pPr>
              <w:pStyle w:val="Texto"/>
              <w:ind w:firstLine="0"/>
              <w:jc w:val="center"/>
              <w:rPr>
                <w:b/>
                <w:szCs w:val="18"/>
                <w:lang w:val="es-MX"/>
              </w:rPr>
            </w:pPr>
            <w:r w:rsidRPr="00187A8D">
              <w:rPr>
                <w:b/>
                <w:szCs w:val="18"/>
                <w:lang w:val="es-MX"/>
              </w:rPr>
              <w:t>Concordancia con Normas Internacionales</w:t>
            </w:r>
          </w:p>
          <w:p w:rsidR="008A6D4C" w:rsidRPr="00187A8D" w:rsidRDefault="008A6D4C" w:rsidP="00C56A1A">
            <w:pPr>
              <w:pStyle w:val="Texto"/>
              <w:ind w:firstLine="0"/>
              <w:rPr>
                <w:szCs w:val="18"/>
              </w:rPr>
            </w:pPr>
            <w:r w:rsidRPr="00187A8D">
              <w:rPr>
                <w:szCs w:val="18"/>
              </w:rPr>
              <w:t>Esta NMX-J-737-1-ANCE-2018, Seguridad en maquinaria</w:t>
            </w:r>
            <w:r>
              <w:rPr>
                <w:szCs w:val="18"/>
              </w:rPr>
              <w:t>-</w:t>
            </w:r>
            <w:r w:rsidRPr="00187A8D">
              <w:rPr>
                <w:szCs w:val="18"/>
              </w:rPr>
              <w:t>Partes relacionadas con la seguridad en sistemas de control</w:t>
            </w:r>
            <w:r>
              <w:rPr>
                <w:szCs w:val="18"/>
              </w:rPr>
              <w:t>-</w:t>
            </w:r>
            <w:r w:rsidRPr="00187A8D">
              <w:rPr>
                <w:szCs w:val="18"/>
              </w:rPr>
              <w:t xml:space="preserve">Parte 1: Principios generales para el diseño, tiene concordancia MODIFICADA con la Norma Internacional “ISO 13849-1, Safety </w:t>
            </w:r>
            <w:proofErr w:type="spellStart"/>
            <w:r w:rsidRPr="00187A8D">
              <w:rPr>
                <w:szCs w:val="18"/>
              </w:rPr>
              <w:t>of</w:t>
            </w:r>
            <w:proofErr w:type="spellEnd"/>
            <w:r w:rsidRPr="00187A8D">
              <w:rPr>
                <w:szCs w:val="18"/>
              </w:rPr>
              <w:t xml:space="preserve"> </w:t>
            </w:r>
            <w:proofErr w:type="spellStart"/>
            <w:r w:rsidRPr="00187A8D">
              <w:rPr>
                <w:szCs w:val="18"/>
              </w:rPr>
              <w:t>machinery</w:t>
            </w:r>
            <w:proofErr w:type="spellEnd"/>
            <w:r>
              <w:rPr>
                <w:szCs w:val="18"/>
              </w:rPr>
              <w:t>-</w:t>
            </w:r>
            <w:r w:rsidRPr="00187A8D">
              <w:rPr>
                <w:szCs w:val="18"/>
              </w:rPr>
              <w:t>Safety-</w:t>
            </w:r>
            <w:proofErr w:type="spellStart"/>
            <w:r w:rsidRPr="00187A8D">
              <w:rPr>
                <w:szCs w:val="18"/>
              </w:rPr>
              <w:t>related</w:t>
            </w:r>
            <w:proofErr w:type="spellEnd"/>
            <w:r w:rsidRPr="00187A8D">
              <w:rPr>
                <w:szCs w:val="18"/>
              </w:rPr>
              <w:t xml:space="preserve"> </w:t>
            </w:r>
            <w:proofErr w:type="spellStart"/>
            <w:r w:rsidRPr="00187A8D">
              <w:rPr>
                <w:szCs w:val="18"/>
              </w:rPr>
              <w:t>parts</w:t>
            </w:r>
            <w:proofErr w:type="spellEnd"/>
            <w:r w:rsidRPr="00187A8D">
              <w:rPr>
                <w:szCs w:val="18"/>
              </w:rPr>
              <w:t xml:space="preserve"> </w:t>
            </w:r>
            <w:proofErr w:type="spellStart"/>
            <w:r w:rsidRPr="00187A8D">
              <w:rPr>
                <w:szCs w:val="18"/>
              </w:rPr>
              <w:t>of</w:t>
            </w:r>
            <w:proofErr w:type="spellEnd"/>
            <w:r w:rsidRPr="00187A8D">
              <w:rPr>
                <w:szCs w:val="18"/>
              </w:rPr>
              <w:t xml:space="preserve"> control </w:t>
            </w:r>
            <w:proofErr w:type="spellStart"/>
            <w:r w:rsidRPr="00187A8D">
              <w:rPr>
                <w:szCs w:val="18"/>
              </w:rPr>
              <w:t>systems</w:t>
            </w:r>
            <w:r>
              <w:rPr>
                <w:szCs w:val="18"/>
              </w:rPr>
              <w:t>-</w:t>
            </w:r>
            <w:r w:rsidRPr="00187A8D">
              <w:rPr>
                <w:szCs w:val="18"/>
              </w:rPr>
              <w:t>Part</w:t>
            </w:r>
            <w:proofErr w:type="spellEnd"/>
            <w:r w:rsidRPr="00187A8D">
              <w:rPr>
                <w:szCs w:val="18"/>
              </w:rPr>
              <w:t xml:space="preserve"> 1: General </w:t>
            </w:r>
            <w:proofErr w:type="spellStart"/>
            <w:r w:rsidRPr="00187A8D">
              <w:rPr>
                <w:szCs w:val="18"/>
              </w:rPr>
              <w:t>principles</w:t>
            </w:r>
            <w:proofErr w:type="spellEnd"/>
            <w:r w:rsidRPr="00187A8D">
              <w:rPr>
                <w:szCs w:val="18"/>
              </w:rPr>
              <w:t xml:space="preserve"> </w:t>
            </w:r>
            <w:proofErr w:type="spellStart"/>
            <w:r w:rsidRPr="00187A8D">
              <w:rPr>
                <w:szCs w:val="18"/>
              </w:rPr>
              <w:t>for</w:t>
            </w:r>
            <w:proofErr w:type="spellEnd"/>
            <w:r w:rsidRPr="00187A8D">
              <w:rPr>
                <w:szCs w:val="18"/>
              </w:rPr>
              <w:t xml:space="preserve"> </w:t>
            </w:r>
            <w:proofErr w:type="spellStart"/>
            <w:r w:rsidRPr="00187A8D">
              <w:rPr>
                <w:szCs w:val="18"/>
              </w:rPr>
              <w:t>design</w:t>
            </w:r>
            <w:proofErr w:type="spellEnd"/>
            <w:r w:rsidRPr="00187A8D">
              <w:rPr>
                <w:szCs w:val="18"/>
              </w:rPr>
              <w:t>, ed3.0 (2015-12)” y difiere en los puntos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5438"/>
            </w:tblGrid>
            <w:tr w:rsidR="008A6D4C" w:rsidRPr="00187A8D" w:rsidTr="00C56A1A">
              <w:trPr>
                <w:trHeight w:val="477"/>
                <w:jc w:val="center"/>
              </w:trPr>
              <w:tc>
                <w:tcPr>
                  <w:tcW w:w="2920" w:type="dxa"/>
                  <w:vAlign w:val="center"/>
                </w:tcPr>
                <w:p w:rsidR="008A6D4C" w:rsidRPr="00187A8D" w:rsidRDefault="008A6D4C" w:rsidP="00C56A1A">
                  <w:pPr>
                    <w:pStyle w:val="Texto"/>
                    <w:ind w:firstLine="0"/>
                    <w:jc w:val="center"/>
                    <w:rPr>
                      <w:b/>
                      <w:szCs w:val="18"/>
                    </w:rPr>
                  </w:pPr>
                  <w:r w:rsidRPr="00187A8D">
                    <w:rPr>
                      <w:b/>
                      <w:szCs w:val="18"/>
                    </w:rPr>
                    <w:t>Capítulo/Inciso al que aplica la diferencia</w:t>
                  </w:r>
                </w:p>
              </w:tc>
              <w:tc>
                <w:tcPr>
                  <w:tcW w:w="5438" w:type="dxa"/>
                  <w:vAlign w:val="center"/>
                </w:tcPr>
                <w:p w:rsidR="008A6D4C" w:rsidRPr="00187A8D" w:rsidRDefault="008A6D4C" w:rsidP="00C56A1A">
                  <w:pPr>
                    <w:pStyle w:val="Texto"/>
                    <w:ind w:firstLine="0"/>
                    <w:jc w:val="center"/>
                    <w:rPr>
                      <w:b/>
                      <w:szCs w:val="18"/>
                    </w:rPr>
                  </w:pPr>
                  <w:r w:rsidRPr="00187A8D">
                    <w:rPr>
                      <w:b/>
                      <w:szCs w:val="18"/>
                    </w:rPr>
                    <w:t>Desviación Técnica / Justificación</w:t>
                  </w:r>
                </w:p>
              </w:tc>
            </w:tr>
            <w:tr w:rsidR="008A6D4C" w:rsidRPr="00187A8D" w:rsidTr="00C56A1A">
              <w:trPr>
                <w:trHeight w:val="18"/>
                <w:jc w:val="center"/>
              </w:trPr>
              <w:tc>
                <w:tcPr>
                  <w:tcW w:w="2920" w:type="dxa"/>
                  <w:vAlign w:val="center"/>
                </w:tcPr>
                <w:p w:rsidR="008A6D4C" w:rsidRPr="00187A8D" w:rsidRDefault="008A6D4C" w:rsidP="00C56A1A">
                  <w:pPr>
                    <w:pStyle w:val="Texto"/>
                    <w:ind w:firstLine="0"/>
                    <w:rPr>
                      <w:szCs w:val="18"/>
                    </w:rPr>
                  </w:pPr>
                  <w:r w:rsidRPr="00187A8D">
                    <w:rPr>
                      <w:szCs w:val="18"/>
                    </w:rPr>
                    <w:t>3.1, 4.1, 4.8, 7.2, 9, 11, 4.2.1, 4.5.1, 5.2 y Figura 1.</w:t>
                  </w:r>
                </w:p>
              </w:tc>
              <w:tc>
                <w:tcPr>
                  <w:tcW w:w="5438" w:type="dxa"/>
                  <w:vAlign w:val="center"/>
                </w:tcPr>
                <w:p w:rsidR="008A6D4C" w:rsidRPr="00187A8D" w:rsidRDefault="008A6D4C" w:rsidP="00C56A1A">
                  <w:pPr>
                    <w:pStyle w:val="Texto"/>
                    <w:ind w:firstLine="0"/>
                    <w:rPr>
                      <w:szCs w:val="18"/>
                    </w:rPr>
                  </w:pPr>
                  <w:r w:rsidRPr="00187A8D">
                    <w:rPr>
                      <w:szCs w:val="18"/>
                    </w:rPr>
                    <w:t>Para esta Norma Mexicana las referencias a las Normas Internacionales se consideran de carácter informativo en tanto se desarrolla la Norma Mexicana correspondiente. Lo anterior para cumplir con la normativa nacional de acuerdo con lo que se indica en la fracción IV del artículo 28 del Reglamento de la Ley Federal sobre Metrología y Normalización.</w:t>
                  </w:r>
                </w:p>
              </w:tc>
            </w:tr>
            <w:tr w:rsidR="008A6D4C" w:rsidRPr="00187A8D" w:rsidTr="00C56A1A">
              <w:trPr>
                <w:trHeight w:val="18"/>
                <w:jc w:val="center"/>
              </w:trPr>
              <w:tc>
                <w:tcPr>
                  <w:tcW w:w="2920" w:type="dxa"/>
                  <w:tcBorders>
                    <w:bottom w:val="single" w:sz="4" w:space="0" w:color="auto"/>
                  </w:tcBorders>
                  <w:vAlign w:val="center"/>
                </w:tcPr>
                <w:p w:rsidR="008A6D4C" w:rsidRPr="00187A8D" w:rsidRDefault="008A6D4C" w:rsidP="00C56A1A">
                  <w:pPr>
                    <w:pStyle w:val="Texto"/>
                    <w:ind w:firstLine="0"/>
                    <w:rPr>
                      <w:szCs w:val="18"/>
                    </w:rPr>
                  </w:pPr>
                  <w:r w:rsidRPr="00187A8D">
                    <w:rPr>
                      <w:szCs w:val="18"/>
                    </w:rPr>
                    <w:t>4.5.1 y 4.6.2.</w:t>
                  </w:r>
                </w:p>
              </w:tc>
              <w:tc>
                <w:tcPr>
                  <w:tcW w:w="5438" w:type="dxa"/>
                  <w:tcBorders>
                    <w:bottom w:val="single" w:sz="4" w:space="0" w:color="auto"/>
                  </w:tcBorders>
                  <w:vAlign w:val="center"/>
                </w:tcPr>
                <w:p w:rsidR="008A6D4C" w:rsidRPr="00187A8D" w:rsidRDefault="008A6D4C" w:rsidP="00C56A1A">
                  <w:pPr>
                    <w:pStyle w:val="Texto"/>
                    <w:ind w:firstLine="0"/>
                    <w:rPr>
                      <w:szCs w:val="18"/>
                    </w:rPr>
                  </w:pPr>
                  <w:r w:rsidRPr="00187A8D">
                    <w:rPr>
                      <w:szCs w:val="18"/>
                    </w:rPr>
                    <w:t xml:space="preserve">Para esta Norma Mexicana debe sustituirse la referencia a la Norma Internacional por la Norma Mexicana correspondiente. Lo anterior con objeto de cumplir con la normativa nacional de acuerdo con lo que se indica en la fracción IV del artículo 28 del </w:t>
                  </w:r>
                  <w:r w:rsidRPr="00187A8D">
                    <w:rPr>
                      <w:szCs w:val="18"/>
                    </w:rPr>
                    <w:lastRenderedPageBreak/>
                    <w:t>Reglamento de la Ley Federal sobre Metrología y Normalización, haciendo referencia a las Normas Mexicanas que se relacionan.</w:t>
                  </w:r>
                </w:p>
              </w:tc>
            </w:tr>
            <w:tr w:rsidR="008A6D4C" w:rsidRPr="00187A8D" w:rsidTr="00C56A1A">
              <w:trPr>
                <w:trHeight w:val="18"/>
                <w:jc w:val="center"/>
              </w:trPr>
              <w:tc>
                <w:tcPr>
                  <w:tcW w:w="2920" w:type="dxa"/>
                  <w:tcBorders>
                    <w:left w:val="nil"/>
                    <w:bottom w:val="nil"/>
                    <w:right w:val="nil"/>
                  </w:tcBorders>
                  <w:vAlign w:val="center"/>
                </w:tcPr>
                <w:p w:rsidR="008A6D4C" w:rsidRPr="00187A8D" w:rsidRDefault="008A6D4C" w:rsidP="00C56A1A">
                  <w:pPr>
                    <w:pStyle w:val="Texto"/>
                    <w:ind w:firstLine="0"/>
                    <w:rPr>
                      <w:szCs w:val="18"/>
                    </w:rPr>
                  </w:pPr>
                </w:p>
              </w:tc>
              <w:tc>
                <w:tcPr>
                  <w:tcW w:w="5438" w:type="dxa"/>
                  <w:tcBorders>
                    <w:left w:val="nil"/>
                    <w:bottom w:val="nil"/>
                    <w:right w:val="nil"/>
                  </w:tcBorders>
                  <w:vAlign w:val="center"/>
                </w:tcPr>
                <w:p w:rsidR="008A6D4C" w:rsidRPr="00187A8D" w:rsidRDefault="008A6D4C" w:rsidP="00C56A1A">
                  <w:pPr>
                    <w:pStyle w:val="Texto"/>
                    <w:ind w:firstLine="0"/>
                    <w:rPr>
                      <w:szCs w:val="18"/>
                    </w:rPr>
                  </w:pPr>
                </w:p>
              </w:tc>
            </w:tr>
            <w:tr w:rsidR="008A6D4C" w:rsidRPr="00187A8D" w:rsidTr="00C56A1A">
              <w:trPr>
                <w:trHeight w:val="18"/>
                <w:jc w:val="center"/>
              </w:trPr>
              <w:tc>
                <w:tcPr>
                  <w:tcW w:w="2920" w:type="dxa"/>
                  <w:tcBorders>
                    <w:top w:val="nil"/>
                    <w:left w:val="nil"/>
                    <w:right w:val="nil"/>
                  </w:tcBorders>
                  <w:vAlign w:val="center"/>
                </w:tcPr>
                <w:p w:rsidR="008A6D4C" w:rsidRPr="00187A8D" w:rsidRDefault="008A6D4C" w:rsidP="00C56A1A">
                  <w:pPr>
                    <w:pStyle w:val="Texto"/>
                    <w:spacing w:after="60"/>
                    <w:ind w:firstLine="0"/>
                    <w:rPr>
                      <w:szCs w:val="18"/>
                    </w:rPr>
                  </w:pPr>
                </w:p>
              </w:tc>
              <w:tc>
                <w:tcPr>
                  <w:tcW w:w="5438" w:type="dxa"/>
                  <w:tcBorders>
                    <w:top w:val="nil"/>
                    <w:left w:val="nil"/>
                    <w:right w:val="nil"/>
                  </w:tcBorders>
                  <w:vAlign w:val="center"/>
                </w:tcPr>
                <w:p w:rsidR="008A6D4C" w:rsidRPr="00187A8D" w:rsidRDefault="008A6D4C" w:rsidP="00C56A1A">
                  <w:pPr>
                    <w:pStyle w:val="Texto"/>
                    <w:spacing w:after="60"/>
                    <w:ind w:firstLine="0"/>
                    <w:rPr>
                      <w:szCs w:val="18"/>
                    </w:rPr>
                  </w:pPr>
                </w:p>
              </w:tc>
            </w:tr>
            <w:tr w:rsidR="008A6D4C" w:rsidRPr="00187A8D" w:rsidTr="00C56A1A">
              <w:trPr>
                <w:trHeight w:val="18"/>
                <w:jc w:val="center"/>
              </w:trPr>
              <w:tc>
                <w:tcPr>
                  <w:tcW w:w="2920" w:type="dxa"/>
                  <w:vAlign w:val="center"/>
                </w:tcPr>
                <w:p w:rsidR="008A6D4C" w:rsidRPr="00187A8D" w:rsidRDefault="008A6D4C" w:rsidP="00C56A1A">
                  <w:pPr>
                    <w:pStyle w:val="Texto"/>
                    <w:spacing w:after="60"/>
                    <w:ind w:firstLine="0"/>
                    <w:rPr>
                      <w:szCs w:val="18"/>
                    </w:rPr>
                  </w:pPr>
                  <w:r w:rsidRPr="00187A8D">
                    <w:rPr>
                      <w:szCs w:val="18"/>
                    </w:rPr>
                    <w:t>C.4.3, D.1, I.3.2 e I.4.2.</w:t>
                  </w:r>
                </w:p>
              </w:tc>
              <w:tc>
                <w:tcPr>
                  <w:tcW w:w="5438" w:type="dxa"/>
                  <w:vAlign w:val="center"/>
                </w:tcPr>
                <w:p w:rsidR="008A6D4C" w:rsidRPr="00187A8D" w:rsidRDefault="008A6D4C" w:rsidP="00C56A1A">
                  <w:pPr>
                    <w:pStyle w:val="Texto"/>
                    <w:spacing w:after="60"/>
                    <w:ind w:firstLine="0"/>
                    <w:rPr>
                      <w:szCs w:val="18"/>
                    </w:rPr>
                  </w:pPr>
                  <w:r w:rsidRPr="00187A8D">
                    <w:rPr>
                      <w:szCs w:val="18"/>
                    </w:rPr>
                    <w:t>Para esta Norma Mexicana se corrige la referencia a la Tabla 5, debiendo ser la referencia correcta a la Tabla 4, lo anterior debido a que existe un error en la Norma Internacional.</w:t>
                  </w:r>
                </w:p>
              </w:tc>
            </w:tr>
            <w:tr w:rsidR="008A6D4C" w:rsidRPr="00187A8D" w:rsidTr="00C56A1A">
              <w:trPr>
                <w:trHeight w:val="18"/>
                <w:jc w:val="center"/>
              </w:trPr>
              <w:tc>
                <w:tcPr>
                  <w:tcW w:w="2920" w:type="dxa"/>
                  <w:vAlign w:val="center"/>
                </w:tcPr>
                <w:p w:rsidR="008A6D4C" w:rsidRPr="00187A8D" w:rsidRDefault="008A6D4C" w:rsidP="00C56A1A">
                  <w:pPr>
                    <w:pStyle w:val="Texto"/>
                    <w:spacing w:after="60"/>
                    <w:ind w:firstLine="0"/>
                    <w:rPr>
                      <w:szCs w:val="18"/>
                    </w:rPr>
                  </w:pPr>
                  <w:r w:rsidRPr="00187A8D">
                    <w:rPr>
                      <w:szCs w:val="18"/>
                    </w:rPr>
                    <w:t>E.1.</w:t>
                  </w:r>
                </w:p>
              </w:tc>
              <w:tc>
                <w:tcPr>
                  <w:tcW w:w="5438" w:type="dxa"/>
                  <w:vAlign w:val="center"/>
                </w:tcPr>
                <w:p w:rsidR="008A6D4C" w:rsidRPr="00187A8D" w:rsidRDefault="008A6D4C" w:rsidP="00C56A1A">
                  <w:pPr>
                    <w:pStyle w:val="Texto"/>
                    <w:spacing w:after="60"/>
                    <w:ind w:firstLine="0"/>
                    <w:rPr>
                      <w:szCs w:val="18"/>
                    </w:rPr>
                  </w:pPr>
                  <w:r w:rsidRPr="00187A8D">
                    <w:rPr>
                      <w:szCs w:val="18"/>
                    </w:rPr>
                    <w:t>Para esta Norma Mexicana se corrige la referencia a la Norma Internacional ISO 13949-2, debiendo ser la referencia correcta la Norma Internacional ISO 13849-2.</w:t>
                  </w:r>
                </w:p>
              </w:tc>
            </w:tr>
            <w:tr w:rsidR="008A6D4C" w:rsidRPr="00187A8D" w:rsidTr="00C56A1A">
              <w:trPr>
                <w:trHeight w:val="18"/>
                <w:jc w:val="center"/>
              </w:trPr>
              <w:tc>
                <w:tcPr>
                  <w:tcW w:w="2920" w:type="dxa"/>
                  <w:tcBorders>
                    <w:bottom w:val="single" w:sz="4" w:space="0" w:color="auto"/>
                  </w:tcBorders>
                  <w:vAlign w:val="center"/>
                </w:tcPr>
                <w:p w:rsidR="008A6D4C" w:rsidRPr="00187A8D" w:rsidRDefault="008A6D4C" w:rsidP="00C56A1A">
                  <w:pPr>
                    <w:pStyle w:val="Texto"/>
                    <w:spacing w:after="60"/>
                    <w:ind w:firstLine="0"/>
                    <w:rPr>
                      <w:szCs w:val="18"/>
                    </w:rPr>
                  </w:pPr>
                  <w:r w:rsidRPr="00187A8D">
                    <w:rPr>
                      <w:szCs w:val="18"/>
                    </w:rPr>
                    <w:t>I.3.2 e I.4.2.</w:t>
                  </w:r>
                </w:p>
              </w:tc>
              <w:tc>
                <w:tcPr>
                  <w:tcW w:w="5438" w:type="dxa"/>
                  <w:tcBorders>
                    <w:bottom w:val="single" w:sz="4" w:space="0" w:color="auto"/>
                  </w:tcBorders>
                  <w:vAlign w:val="center"/>
                </w:tcPr>
                <w:p w:rsidR="008A6D4C" w:rsidRPr="00187A8D" w:rsidRDefault="008A6D4C" w:rsidP="00C56A1A">
                  <w:pPr>
                    <w:pStyle w:val="Texto"/>
                    <w:spacing w:after="60"/>
                    <w:ind w:firstLine="0"/>
                    <w:rPr>
                      <w:szCs w:val="18"/>
                    </w:rPr>
                  </w:pPr>
                  <w:r w:rsidRPr="00187A8D">
                    <w:rPr>
                      <w:szCs w:val="18"/>
                    </w:rPr>
                    <w:t>Para esta Norma Mexicana se corrige la referencia a la Tabla 6, debiendo ser la referencia correcta a la Tabla 5, lo anterior debido a que existe un error en la Norma Internacional.</w:t>
                  </w:r>
                </w:p>
              </w:tc>
            </w:tr>
            <w:tr w:rsidR="008A6D4C" w:rsidRPr="00187A8D" w:rsidTr="00C56A1A">
              <w:trPr>
                <w:trHeight w:val="18"/>
                <w:jc w:val="center"/>
              </w:trPr>
              <w:tc>
                <w:tcPr>
                  <w:tcW w:w="2920" w:type="dxa"/>
                  <w:tcBorders>
                    <w:left w:val="nil"/>
                    <w:bottom w:val="nil"/>
                    <w:right w:val="nil"/>
                  </w:tcBorders>
                  <w:vAlign w:val="center"/>
                </w:tcPr>
                <w:p w:rsidR="008A6D4C" w:rsidRPr="00187A8D" w:rsidRDefault="008A6D4C" w:rsidP="00C56A1A">
                  <w:pPr>
                    <w:pStyle w:val="Texto"/>
                    <w:spacing w:after="60"/>
                    <w:ind w:firstLine="0"/>
                    <w:rPr>
                      <w:szCs w:val="18"/>
                    </w:rPr>
                  </w:pPr>
                </w:p>
              </w:tc>
              <w:tc>
                <w:tcPr>
                  <w:tcW w:w="5438" w:type="dxa"/>
                  <w:tcBorders>
                    <w:left w:val="nil"/>
                    <w:bottom w:val="nil"/>
                    <w:right w:val="nil"/>
                  </w:tcBorders>
                  <w:vAlign w:val="center"/>
                </w:tcPr>
                <w:p w:rsidR="008A6D4C" w:rsidRPr="00187A8D" w:rsidRDefault="008A6D4C" w:rsidP="00C56A1A">
                  <w:pPr>
                    <w:pStyle w:val="Texto"/>
                    <w:spacing w:after="60"/>
                    <w:ind w:firstLine="0"/>
                    <w:rPr>
                      <w:szCs w:val="18"/>
                    </w:rPr>
                  </w:pPr>
                </w:p>
              </w:tc>
            </w:tr>
          </w:tbl>
          <w:p w:rsidR="008A6D4C" w:rsidRPr="00187A8D" w:rsidRDefault="008A6D4C" w:rsidP="00C56A1A">
            <w:pPr>
              <w:pStyle w:val="Texto"/>
              <w:ind w:firstLine="0"/>
              <w:rPr>
                <w:b/>
                <w:szCs w:val="18"/>
                <w:highlight w:val="yellow"/>
                <w:lang w:val="es-ES_tradnl"/>
              </w:rPr>
            </w:pPr>
          </w:p>
        </w:tc>
      </w:tr>
    </w:tbl>
    <w:p w:rsidR="008A6D4C" w:rsidRPr="007613B8" w:rsidRDefault="008A6D4C" w:rsidP="008A6D4C">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2"/>
      </w:tblGrid>
      <w:tr w:rsidR="008A6D4C" w:rsidRPr="00187A8D" w:rsidTr="00C56A1A">
        <w:trPr>
          <w:trHeight w:val="20"/>
        </w:trPr>
        <w:tc>
          <w:tcPr>
            <w:tcW w:w="8712" w:type="dxa"/>
            <w:vAlign w:val="center"/>
          </w:tcPr>
          <w:p w:rsidR="008A6D4C" w:rsidRPr="004D0FAD" w:rsidRDefault="008A6D4C" w:rsidP="00C56A1A">
            <w:pPr>
              <w:pStyle w:val="Texto"/>
              <w:spacing w:after="60"/>
              <w:ind w:firstLine="0"/>
              <w:jc w:val="center"/>
              <w:rPr>
                <w:b/>
                <w:szCs w:val="18"/>
                <w:lang w:val="es-MX"/>
              </w:rPr>
            </w:pPr>
            <w:r w:rsidRPr="004D0FAD">
              <w:rPr>
                <w:b/>
                <w:szCs w:val="18"/>
                <w:lang w:val="es-MX"/>
              </w:rPr>
              <w:t>Bibliografía</w:t>
            </w:r>
          </w:p>
          <w:p w:rsidR="008A6D4C" w:rsidRPr="00187A8D" w:rsidRDefault="008A6D4C" w:rsidP="00C56A1A">
            <w:pPr>
              <w:pStyle w:val="Texto"/>
              <w:tabs>
                <w:tab w:val="left" w:pos="396"/>
              </w:tabs>
              <w:spacing w:after="60"/>
              <w:ind w:left="396" w:hanging="396"/>
              <w:rPr>
                <w:szCs w:val="18"/>
                <w:lang w:val="es-MX"/>
              </w:rPr>
            </w:pPr>
            <w:r w:rsidRPr="00187A8D">
              <w:rPr>
                <w:szCs w:val="18"/>
                <w:lang w:val="es-MX"/>
              </w:rPr>
              <w:t>•</w:t>
            </w:r>
            <w:r w:rsidRPr="00187A8D">
              <w:rPr>
                <w:szCs w:val="18"/>
                <w:lang w:val="es-MX"/>
              </w:rPr>
              <w:tab/>
              <w:t>NMX-J-529-ANCE-2012, Grados de protección proporcionados por los envolventes (Código IP), publicada en el Diario Oficial de la Federación el 22 de marzo de 2013.</w:t>
            </w:r>
          </w:p>
          <w:p w:rsidR="008A6D4C" w:rsidRPr="00187A8D" w:rsidRDefault="008A6D4C" w:rsidP="00C56A1A">
            <w:pPr>
              <w:pStyle w:val="Texto"/>
              <w:tabs>
                <w:tab w:val="left" w:pos="396"/>
              </w:tabs>
              <w:spacing w:after="60"/>
              <w:ind w:left="396" w:hanging="396"/>
              <w:rPr>
                <w:szCs w:val="18"/>
                <w:lang w:val="es-MX"/>
              </w:rPr>
            </w:pPr>
            <w:r w:rsidRPr="00187A8D">
              <w:rPr>
                <w:szCs w:val="18"/>
                <w:lang w:val="es-MX"/>
              </w:rPr>
              <w:t>•</w:t>
            </w:r>
            <w:r w:rsidRPr="00187A8D">
              <w:rPr>
                <w:szCs w:val="18"/>
                <w:lang w:val="es-MX"/>
              </w:rPr>
              <w:tab/>
              <w:t>NMX-J-610/6-2-ANCE-2008, Compatibilidad electromagnética (EMC)</w:t>
            </w:r>
            <w:r>
              <w:rPr>
                <w:szCs w:val="18"/>
                <w:lang w:val="es-MX"/>
              </w:rPr>
              <w:t>-</w:t>
            </w:r>
            <w:r w:rsidRPr="00187A8D">
              <w:rPr>
                <w:szCs w:val="18"/>
                <w:lang w:val="es-MX"/>
              </w:rPr>
              <w:t>Parte 6-2: Normas genéricas-Requisitos de inmunidad de aparatos eléctricos en ambientes industriales, publicada en el Diario Oficial de la Federación el 8 de diciembre de 2008.</w:t>
            </w:r>
          </w:p>
          <w:p w:rsidR="008A6D4C" w:rsidRPr="00187A8D" w:rsidRDefault="008A6D4C" w:rsidP="00C56A1A">
            <w:pPr>
              <w:pStyle w:val="Texto"/>
              <w:tabs>
                <w:tab w:val="left" w:pos="396"/>
              </w:tabs>
              <w:spacing w:after="60"/>
              <w:ind w:left="396" w:hanging="396"/>
              <w:rPr>
                <w:szCs w:val="18"/>
                <w:lang w:val="es-MX"/>
              </w:rPr>
            </w:pPr>
            <w:r w:rsidRPr="00187A8D">
              <w:rPr>
                <w:szCs w:val="18"/>
                <w:lang w:val="es-MX"/>
              </w:rPr>
              <w:t>•</w:t>
            </w:r>
            <w:r w:rsidRPr="00187A8D">
              <w:rPr>
                <w:szCs w:val="18"/>
                <w:lang w:val="es-MX"/>
              </w:rPr>
              <w:tab/>
              <w:t>NMX-J-671/1-ANCE-2013, Seguridad funcional de los sistemas eléctricos que se relacionan con la seguridad</w:t>
            </w:r>
            <w:r>
              <w:rPr>
                <w:szCs w:val="18"/>
                <w:lang w:val="es-MX"/>
              </w:rPr>
              <w:t>-</w:t>
            </w:r>
            <w:r w:rsidRPr="00187A8D">
              <w:rPr>
                <w:szCs w:val="18"/>
                <w:lang w:val="es-MX"/>
              </w:rPr>
              <w:t>Parte 1: Requisitos generales, publicada en el Diario Oficial de la Federación el 28 de octubre de 2013.</w:t>
            </w:r>
          </w:p>
          <w:p w:rsidR="008A6D4C" w:rsidRPr="00187A8D" w:rsidRDefault="008A6D4C" w:rsidP="00C56A1A">
            <w:pPr>
              <w:pStyle w:val="Texto"/>
              <w:tabs>
                <w:tab w:val="left" w:pos="396"/>
              </w:tabs>
              <w:spacing w:after="60"/>
              <w:ind w:left="396" w:hanging="396"/>
              <w:rPr>
                <w:szCs w:val="18"/>
                <w:highlight w:val="yellow"/>
                <w:lang w:val="es-MX"/>
              </w:rPr>
            </w:pPr>
            <w:r w:rsidRPr="00187A8D">
              <w:rPr>
                <w:szCs w:val="18"/>
                <w:lang w:val="es-MX"/>
              </w:rPr>
              <w:t>•</w:t>
            </w:r>
            <w:r w:rsidRPr="00187A8D">
              <w:rPr>
                <w:szCs w:val="18"/>
                <w:lang w:val="es-MX"/>
              </w:rPr>
              <w:tab/>
              <w:t>NMX-J-671/2-ANCE-2013, Seguridad funcional de los sistemas eléctricos que se relacionan con la seguridad</w:t>
            </w:r>
            <w:r>
              <w:rPr>
                <w:szCs w:val="18"/>
                <w:lang w:val="es-MX"/>
              </w:rPr>
              <w:t>-</w:t>
            </w:r>
            <w:r w:rsidRPr="00187A8D">
              <w:rPr>
                <w:szCs w:val="18"/>
                <w:lang w:val="es-MX"/>
              </w:rPr>
              <w:t>Parte 2: Requisitos para los sistemas eléctricos que se relacionan con la seguridad, publicada en el Diario Oficial de la Federación el 28 de octubre de 2013.</w:t>
            </w:r>
          </w:p>
        </w:tc>
      </w:tr>
    </w:tbl>
    <w:p w:rsidR="008A6D4C" w:rsidRPr="00187A8D" w:rsidRDefault="008A6D4C" w:rsidP="008A6D4C">
      <w:pPr>
        <w:pStyle w:val="Texto"/>
        <w:spacing w:after="60"/>
        <w:rPr>
          <w:bCs/>
          <w:szCs w:val="18"/>
          <w:lang w:val="es-MX"/>
        </w:rPr>
      </w:pPr>
    </w:p>
    <w:p w:rsidR="008A6D4C" w:rsidRPr="007C5048" w:rsidRDefault="008A6D4C" w:rsidP="008A6D4C">
      <w:pPr>
        <w:pStyle w:val="Texto"/>
        <w:spacing w:after="60"/>
        <w:rPr>
          <w:bCs/>
          <w:szCs w:val="18"/>
          <w:lang w:val="es-MX"/>
        </w:rPr>
      </w:pPr>
      <w:r>
        <w:rPr>
          <w:bCs/>
          <w:szCs w:val="18"/>
          <w:lang w:val="es-MX"/>
        </w:rPr>
        <w:t>Atentamente</w:t>
      </w:r>
    </w:p>
    <w:p w:rsidR="008A6D4C" w:rsidRDefault="008A6D4C" w:rsidP="008A6D4C">
      <w:pPr>
        <w:pStyle w:val="Texto"/>
        <w:spacing w:after="60"/>
        <w:rPr>
          <w:bCs/>
          <w:szCs w:val="18"/>
          <w:lang w:val="es-MX"/>
        </w:rPr>
      </w:pPr>
      <w:r w:rsidRPr="00187A8D">
        <w:rPr>
          <w:bCs/>
          <w:szCs w:val="18"/>
          <w:lang w:val="es-MX"/>
        </w:rPr>
        <w:t>Ciudad de México, a 17 de septiembre de 2018</w:t>
      </w:r>
      <w:r>
        <w:rPr>
          <w:bCs/>
          <w:szCs w:val="18"/>
          <w:lang w:val="es-MX"/>
        </w:rPr>
        <w:t xml:space="preserve">.- El </w:t>
      </w:r>
      <w:r w:rsidRPr="007C5048">
        <w:rPr>
          <w:bCs/>
          <w:szCs w:val="18"/>
          <w:lang w:val="es-MX"/>
        </w:rPr>
        <w:t>Director General de Normas y Secretariado Técnico de la Comisión Nacional</w:t>
      </w:r>
      <w:r>
        <w:rPr>
          <w:bCs/>
          <w:szCs w:val="18"/>
          <w:lang w:val="es-MX"/>
        </w:rPr>
        <w:t xml:space="preserve"> </w:t>
      </w:r>
      <w:r w:rsidRPr="007C5048">
        <w:rPr>
          <w:bCs/>
          <w:szCs w:val="18"/>
          <w:lang w:val="es-MX"/>
        </w:rPr>
        <w:t>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8A6D4C" w:rsidRDefault="008A6D4C"/>
    <w:sectPr w:rsidR="008A6D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DB" w:rsidRDefault="001267DB" w:rsidP="008A6D4C">
      <w:r>
        <w:separator/>
      </w:r>
    </w:p>
  </w:endnote>
  <w:endnote w:type="continuationSeparator" w:id="0">
    <w:p w:rsidR="001267DB" w:rsidRDefault="001267DB" w:rsidP="008A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DB" w:rsidRDefault="001267DB" w:rsidP="008A6D4C">
      <w:r>
        <w:separator/>
      </w:r>
    </w:p>
  </w:footnote>
  <w:footnote w:type="continuationSeparator" w:id="0">
    <w:p w:rsidR="001267DB" w:rsidRDefault="001267DB" w:rsidP="008A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D4C" w:rsidRPr="00F63670" w:rsidRDefault="008A6D4C" w:rsidP="008A6D4C">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8A6D4C" w:rsidRPr="008A6D4C" w:rsidRDefault="008A6D4C" w:rsidP="008A6D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4C"/>
    <w:rsid w:val="001267DB"/>
    <w:rsid w:val="008A6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3C37"/>
  <w15:chartTrackingRefBased/>
  <w15:docId w15:val="{17CAD00B-3746-49E3-9C34-F79C4043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D4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A6D4C"/>
    <w:pPr>
      <w:spacing w:after="101" w:line="216" w:lineRule="exact"/>
      <w:ind w:firstLine="288"/>
      <w:jc w:val="both"/>
    </w:pPr>
    <w:rPr>
      <w:rFonts w:ascii="Arial" w:hAnsi="Arial" w:cs="Arial"/>
      <w:sz w:val="18"/>
      <w:szCs w:val="20"/>
    </w:rPr>
  </w:style>
  <w:style w:type="paragraph" w:customStyle="1" w:styleId="Titulo1">
    <w:name w:val="Titulo 1"/>
    <w:basedOn w:val="Texto"/>
    <w:rsid w:val="008A6D4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A6D4C"/>
    <w:pPr>
      <w:pBdr>
        <w:top w:val="double" w:sz="6" w:space="1" w:color="auto"/>
      </w:pBdr>
      <w:spacing w:line="240" w:lineRule="auto"/>
      <w:ind w:firstLine="0"/>
      <w:outlineLvl w:val="1"/>
    </w:pPr>
    <w:rPr>
      <w:lang w:val="es-MX"/>
    </w:rPr>
  </w:style>
  <w:style w:type="character" w:customStyle="1" w:styleId="TextoCar">
    <w:name w:val="Texto Car"/>
    <w:link w:val="Texto"/>
    <w:locked/>
    <w:rsid w:val="008A6D4C"/>
    <w:rPr>
      <w:rFonts w:ascii="Arial" w:eastAsia="Times New Roman" w:hAnsi="Arial" w:cs="Arial"/>
      <w:sz w:val="18"/>
      <w:szCs w:val="20"/>
      <w:lang w:val="es-ES" w:eastAsia="es-ES"/>
    </w:rPr>
  </w:style>
  <w:style w:type="paragraph" w:customStyle="1" w:styleId="CABEZA">
    <w:name w:val="CABEZA"/>
    <w:basedOn w:val="Normal"/>
    <w:rsid w:val="008A6D4C"/>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8A6D4C"/>
    <w:pPr>
      <w:tabs>
        <w:tab w:val="center" w:pos="4419"/>
        <w:tab w:val="right" w:pos="8838"/>
      </w:tabs>
    </w:pPr>
  </w:style>
  <w:style w:type="character" w:customStyle="1" w:styleId="EncabezadoCar">
    <w:name w:val="Encabezado Car"/>
    <w:basedOn w:val="Fuentedeprrafopredeter"/>
    <w:link w:val="Encabezado"/>
    <w:uiPriority w:val="99"/>
    <w:rsid w:val="008A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A6D4C"/>
    <w:pPr>
      <w:tabs>
        <w:tab w:val="center" w:pos="4419"/>
        <w:tab w:val="right" w:pos="8838"/>
      </w:tabs>
    </w:pPr>
  </w:style>
  <w:style w:type="character" w:customStyle="1" w:styleId="PiedepginaCar">
    <w:name w:val="Pie de página Car"/>
    <w:basedOn w:val="Fuentedeprrafopredeter"/>
    <w:link w:val="Piedepgina"/>
    <w:uiPriority w:val="99"/>
    <w:rsid w:val="008A6D4C"/>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8A6D4C"/>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5161</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2019-01-30T12:47:00Z</dcterms:modified>
</cp:coreProperties>
</file>